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136FA" w14:textId="77777777" w:rsidR="00CD0A68" w:rsidRDefault="00CD0A68">
      <w:bookmarkStart w:id="0" w:name="_GoBack"/>
      <w:bookmarkEnd w:id="0"/>
    </w:p>
    <w:p w14:paraId="7D06BDCD" w14:textId="74D8BC54" w:rsidR="00783070" w:rsidRPr="008810ED" w:rsidRDefault="00F0422A" w:rsidP="008810ED">
      <w:pPr>
        <w:spacing w:after="0" w:line="240" w:lineRule="auto"/>
        <w:jc w:val="right"/>
        <w:rPr>
          <w:rFonts w:cstheme="minorHAnsi"/>
          <w:sz w:val="24"/>
          <w:szCs w:val="24"/>
        </w:rPr>
      </w:pPr>
      <w:r>
        <w:rPr>
          <w:rFonts w:cstheme="minorHAnsi"/>
          <w:sz w:val="24"/>
          <w:szCs w:val="24"/>
        </w:rPr>
        <w:t>20</w:t>
      </w:r>
      <w:r w:rsidR="008810ED" w:rsidRPr="008810ED">
        <w:rPr>
          <w:rFonts w:cstheme="minorHAnsi"/>
          <w:sz w:val="24"/>
          <w:szCs w:val="24"/>
        </w:rPr>
        <w:t xml:space="preserve">th </w:t>
      </w:r>
      <w:r>
        <w:rPr>
          <w:rFonts w:cstheme="minorHAnsi"/>
          <w:sz w:val="24"/>
          <w:szCs w:val="24"/>
        </w:rPr>
        <w:t>April 2018</w:t>
      </w:r>
    </w:p>
    <w:p w14:paraId="06AC6F64" w14:textId="77777777" w:rsidR="00783070" w:rsidRDefault="00783070" w:rsidP="00783070">
      <w:pPr>
        <w:spacing w:after="0" w:line="240" w:lineRule="auto"/>
        <w:jc w:val="center"/>
        <w:rPr>
          <w:rFonts w:cstheme="minorHAnsi"/>
          <w:b/>
          <w:bCs/>
          <w:color w:val="31849B" w:themeColor="accent5" w:themeShade="BF"/>
          <w:sz w:val="28"/>
          <w:szCs w:val="28"/>
        </w:rPr>
      </w:pPr>
    </w:p>
    <w:p w14:paraId="203A0401" w14:textId="77777777" w:rsidR="00783070" w:rsidRDefault="00783070" w:rsidP="00783070">
      <w:pPr>
        <w:spacing w:after="0" w:line="240" w:lineRule="auto"/>
        <w:jc w:val="center"/>
        <w:rPr>
          <w:rFonts w:cstheme="minorHAnsi"/>
          <w:b/>
          <w:bCs/>
          <w:color w:val="31849B" w:themeColor="accent5" w:themeShade="BF"/>
          <w:sz w:val="28"/>
          <w:szCs w:val="28"/>
        </w:rPr>
      </w:pPr>
    </w:p>
    <w:p w14:paraId="3F13F751" w14:textId="7D3F2677" w:rsidR="00F70847" w:rsidRPr="00F70847" w:rsidRDefault="0009612E" w:rsidP="00783070">
      <w:pPr>
        <w:spacing w:after="0" w:line="240" w:lineRule="auto"/>
        <w:jc w:val="center"/>
        <w:rPr>
          <w:rFonts w:cstheme="minorHAnsi"/>
          <w:b/>
          <w:color w:val="31849B" w:themeColor="accent5" w:themeShade="BF"/>
          <w:sz w:val="28"/>
          <w:szCs w:val="28"/>
        </w:rPr>
      </w:pPr>
      <w:r>
        <w:rPr>
          <w:rFonts w:ascii="Calibri" w:hAnsi="Calibri" w:cs="Calibri"/>
          <w:b/>
          <w:color w:val="31849B" w:themeColor="accent5" w:themeShade="BF"/>
          <w:sz w:val="28"/>
          <w:szCs w:val="28"/>
        </w:rPr>
        <w:t>Normative content of</w:t>
      </w:r>
      <w:r w:rsidR="00F70847" w:rsidRPr="00F70847">
        <w:rPr>
          <w:rFonts w:ascii="Calibri" w:hAnsi="Calibri" w:cs="Calibri"/>
          <w:b/>
          <w:color w:val="31849B" w:themeColor="accent5" w:themeShade="BF"/>
          <w:sz w:val="28"/>
          <w:szCs w:val="28"/>
        </w:rPr>
        <w:t xml:space="preserve"> the right of older persons to </w:t>
      </w:r>
      <w:r w:rsidR="000701EB">
        <w:rPr>
          <w:rFonts w:ascii="Calibri" w:hAnsi="Calibri" w:cs="Calibri"/>
          <w:b/>
          <w:color w:val="31849B" w:themeColor="accent5" w:themeShade="BF"/>
          <w:sz w:val="28"/>
          <w:szCs w:val="28"/>
        </w:rPr>
        <w:t>equality and non-discrimination</w:t>
      </w:r>
    </w:p>
    <w:p w14:paraId="32CFBC42" w14:textId="77777777" w:rsidR="00F70847" w:rsidRDefault="00F70847" w:rsidP="00783070">
      <w:pPr>
        <w:spacing w:after="0" w:line="240" w:lineRule="auto"/>
        <w:jc w:val="center"/>
        <w:rPr>
          <w:rFonts w:cstheme="minorHAnsi"/>
          <w:b/>
          <w:color w:val="31849B" w:themeColor="accent5" w:themeShade="BF"/>
          <w:sz w:val="28"/>
          <w:szCs w:val="28"/>
        </w:rPr>
      </w:pPr>
    </w:p>
    <w:p w14:paraId="6CB86870" w14:textId="7C03A4A1" w:rsidR="00783070" w:rsidRPr="00F70847" w:rsidRDefault="00F70847" w:rsidP="00783070">
      <w:pPr>
        <w:spacing w:after="0" w:line="240" w:lineRule="auto"/>
        <w:jc w:val="center"/>
        <w:rPr>
          <w:rFonts w:cstheme="minorHAnsi"/>
          <w:b/>
          <w:color w:val="31849B" w:themeColor="accent5" w:themeShade="BF"/>
          <w:sz w:val="28"/>
          <w:szCs w:val="28"/>
        </w:rPr>
      </w:pPr>
      <w:r w:rsidRPr="00F70847">
        <w:rPr>
          <w:rFonts w:cstheme="minorHAnsi"/>
          <w:b/>
          <w:bCs/>
          <w:color w:val="31849B" w:themeColor="accent5" w:themeShade="BF"/>
          <w:sz w:val="28"/>
          <w:szCs w:val="28"/>
        </w:rPr>
        <w:t>AGE Platform Europe input</w:t>
      </w:r>
    </w:p>
    <w:p w14:paraId="798B74DD" w14:textId="77777777" w:rsidR="00AD629C" w:rsidRPr="005B1227" w:rsidRDefault="00AD629C" w:rsidP="00783070">
      <w:pPr>
        <w:spacing w:after="0" w:line="240" w:lineRule="auto"/>
        <w:jc w:val="center"/>
        <w:rPr>
          <w:rFonts w:cstheme="minorHAnsi"/>
          <w:b/>
          <w:color w:val="31849B" w:themeColor="accent5" w:themeShade="BF"/>
          <w:sz w:val="28"/>
          <w:szCs w:val="28"/>
        </w:rPr>
      </w:pPr>
    </w:p>
    <w:p w14:paraId="760F3CF1" w14:textId="40CCBD5A" w:rsidR="008810ED" w:rsidRPr="00783070" w:rsidRDefault="008810ED" w:rsidP="008810ED">
      <w:pPr>
        <w:spacing w:after="120" w:line="240" w:lineRule="auto"/>
        <w:jc w:val="both"/>
        <w:rPr>
          <w:rFonts w:cstheme="minorHAnsi"/>
          <w:sz w:val="24"/>
          <w:szCs w:val="24"/>
        </w:rPr>
      </w:pPr>
      <w:r>
        <w:rPr>
          <w:rFonts w:cstheme="minorHAnsi"/>
          <w:sz w:val="24"/>
          <w:szCs w:val="24"/>
        </w:rPr>
        <w:t>This short answer is submitted in reply to the call of the Chair of the Open-Ended Working Group on Ageing (OEWG) to NGOs.</w:t>
      </w:r>
      <w:r w:rsidRPr="008810ED">
        <w:rPr>
          <w:rFonts w:cstheme="minorHAnsi"/>
          <w:sz w:val="24"/>
          <w:szCs w:val="24"/>
        </w:rPr>
        <w:t xml:space="preserve"> </w:t>
      </w:r>
      <w:r>
        <w:rPr>
          <w:rFonts w:cstheme="minorHAnsi"/>
          <w:sz w:val="24"/>
          <w:szCs w:val="24"/>
        </w:rPr>
        <w:t xml:space="preserve">AGE Platform Europe </w:t>
      </w:r>
      <w:r w:rsidRPr="00783070">
        <w:rPr>
          <w:rFonts w:cstheme="minorHAnsi"/>
          <w:sz w:val="24"/>
          <w:szCs w:val="24"/>
        </w:rPr>
        <w:t>(AGE)</w:t>
      </w:r>
      <w:r>
        <w:rPr>
          <w:rFonts w:cstheme="minorHAnsi"/>
          <w:sz w:val="24"/>
          <w:szCs w:val="24"/>
        </w:rPr>
        <w:t xml:space="preserve"> has ECOSOC status and is accredited to the OEWG since 2012. </w:t>
      </w:r>
    </w:p>
    <w:p w14:paraId="41A1D0BA" w14:textId="6F381FFF" w:rsidR="00783070" w:rsidRDefault="00783070" w:rsidP="00783070">
      <w:pPr>
        <w:spacing w:after="120" w:line="240" w:lineRule="auto"/>
        <w:jc w:val="both"/>
        <w:rPr>
          <w:rFonts w:cstheme="minorHAnsi"/>
          <w:sz w:val="24"/>
          <w:szCs w:val="24"/>
        </w:rPr>
      </w:pPr>
      <w:r w:rsidRPr="00783070">
        <w:rPr>
          <w:rFonts w:cstheme="minorHAnsi"/>
          <w:sz w:val="24"/>
          <w:szCs w:val="24"/>
        </w:rPr>
        <w:t xml:space="preserve">As the largest European network of self-advocacy organisations of older people, </w:t>
      </w:r>
      <w:r w:rsidR="008810ED">
        <w:rPr>
          <w:rFonts w:cstheme="minorHAnsi"/>
          <w:sz w:val="24"/>
          <w:szCs w:val="24"/>
        </w:rPr>
        <w:t>our</w:t>
      </w:r>
      <w:r w:rsidRPr="00783070">
        <w:rPr>
          <w:rFonts w:cstheme="minorHAnsi"/>
          <w:sz w:val="24"/>
          <w:szCs w:val="24"/>
        </w:rPr>
        <w:t xml:space="preserve"> position aims to reflect the situation at EU level and to provide a comparative overview of the EU Member States on behalf of the 40 million older citizens represented by our members. Our contribution is based on written answers received </w:t>
      </w:r>
      <w:r w:rsidR="00F70847">
        <w:rPr>
          <w:rFonts w:cstheme="minorHAnsi"/>
          <w:sz w:val="24"/>
          <w:szCs w:val="24"/>
        </w:rPr>
        <w:t>from</w:t>
      </w:r>
      <w:r w:rsidRPr="00783070">
        <w:rPr>
          <w:rFonts w:cstheme="minorHAnsi"/>
          <w:sz w:val="24"/>
          <w:szCs w:val="24"/>
        </w:rPr>
        <w:t xml:space="preserve"> organisations of older people in </w:t>
      </w:r>
      <w:r w:rsidR="00FE7BF9">
        <w:rPr>
          <w:rFonts w:cstheme="minorHAnsi"/>
          <w:sz w:val="24"/>
          <w:szCs w:val="24"/>
        </w:rPr>
        <w:t>several</w:t>
      </w:r>
      <w:r w:rsidRPr="00783070">
        <w:rPr>
          <w:rFonts w:cstheme="minorHAnsi"/>
          <w:sz w:val="24"/>
          <w:szCs w:val="24"/>
        </w:rPr>
        <w:t xml:space="preserve"> EU Member States, oral debate in the frame of our Council of Administration where representatives from 24 countries</w:t>
      </w:r>
      <w:r w:rsidRPr="00783070">
        <w:rPr>
          <w:rStyle w:val="FootnoteReference"/>
          <w:rFonts w:cstheme="minorHAnsi"/>
          <w:sz w:val="24"/>
          <w:szCs w:val="24"/>
        </w:rPr>
        <w:footnoteReference w:id="1"/>
      </w:r>
      <w:r w:rsidRPr="00783070">
        <w:rPr>
          <w:rFonts w:cstheme="minorHAnsi"/>
          <w:sz w:val="24"/>
          <w:szCs w:val="24"/>
        </w:rPr>
        <w:t xml:space="preserve"> and 6 European organisations/federations</w:t>
      </w:r>
      <w:r w:rsidRPr="00783070">
        <w:rPr>
          <w:rStyle w:val="FootnoteReference"/>
          <w:rFonts w:cstheme="minorHAnsi"/>
          <w:sz w:val="24"/>
          <w:szCs w:val="24"/>
        </w:rPr>
        <w:footnoteReference w:id="2"/>
      </w:r>
      <w:r w:rsidRPr="00783070">
        <w:rPr>
          <w:rFonts w:cstheme="minorHAnsi"/>
          <w:sz w:val="24"/>
          <w:szCs w:val="24"/>
        </w:rPr>
        <w:t xml:space="preserve"> sit as well as </w:t>
      </w:r>
      <w:r w:rsidR="00FE7BF9">
        <w:rPr>
          <w:rFonts w:cstheme="minorHAnsi"/>
          <w:sz w:val="24"/>
          <w:szCs w:val="24"/>
        </w:rPr>
        <w:t>reflections shared during an expert seminar on the human rights of older persons</w:t>
      </w:r>
      <w:r w:rsidR="003141C8">
        <w:rPr>
          <w:rFonts w:cstheme="minorHAnsi"/>
          <w:sz w:val="24"/>
          <w:szCs w:val="24"/>
        </w:rPr>
        <w:t xml:space="preserve"> co-organised by AGE</w:t>
      </w:r>
      <w:r w:rsidRPr="00783070">
        <w:rPr>
          <w:rFonts w:cstheme="minorHAnsi"/>
          <w:sz w:val="24"/>
          <w:szCs w:val="24"/>
        </w:rPr>
        <w:t xml:space="preserve">. </w:t>
      </w:r>
    </w:p>
    <w:p w14:paraId="33AC4ACD" w14:textId="6D144E7B" w:rsidR="008810ED" w:rsidRDefault="00F70847" w:rsidP="00783070">
      <w:pPr>
        <w:spacing w:after="120" w:line="240" w:lineRule="auto"/>
        <w:jc w:val="both"/>
        <w:rPr>
          <w:rFonts w:cstheme="minorHAnsi"/>
          <w:sz w:val="24"/>
          <w:szCs w:val="24"/>
        </w:rPr>
      </w:pPr>
      <w:r>
        <w:rPr>
          <w:rFonts w:cstheme="minorHAnsi"/>
          <w:sz w:val="24"/>
          <w:szCs w:val="24"/>
        </w:rPr>
        <w:t>S</w:t>
      </w:r>
      <w:r w:rsidR="008810ED">
        <w:rPr>
          <w:rFonts w:cstheme="minorHAnsi"/>
          <w:sz w:val="24"/>
          <w:szCs w:val="24"/>
        </w:rPr>
        <w:t>eparate answer</w:t>
      </w:r>
      <w:r>
        <w:rPr>
          <w:rFonts w:cstheme="minorHAnsi"/>
          <w:sz w:val="24"/>
          <w:szCs w:val="24"/>
        </w:rPr>
        <w:t>s</w:t>
      </w:r>
      <w:r w:rsidR="008810ED">
        <w:rPr>
          <w:rFonts w:cstheme="minorHAnsi"/>
          <w:sz w:val="24"/>
          <w:szCs w:val="24"/>
        </w:rPr>
        <w:t xml:space="preserve"> covering </w:t>
      </w:r>
      <w:r w:rsidR="000701EB">
        <w:rPr>
          <w:rFonts w:cstheme="minorHAnsi"/>
          <w:sz w:val="24"/>
          <w:szCs w:val="24"/>
        </w:rPr>
        <w:t>normative elements on freedom from violence, abuse and neglect</w:t>
      </w:r>
      <w:r>
        <w:rPr>
          <w:rFonts w:cstheme="minorHAnsi"/>
          <w:sz w:val="24"/>
          <w:szCs w:val="24"/>
        </w:rPr>
        <w:t xml:space="preserve">, and </w:t>
      </w:r>
      <w:r w:rsidR="008810ED">
        <w:rPr>
          <w:rFonts w:cstheme="minorHAnsi"/>
          <w:sz w:val="24"/>
          <w:szCs w:val="24"/>
        </w:rPr>
        <w:t xml:space="preserve">questions on </w:t>
      </w:r>
      <w:r>
        <w:rPr>
          <w:rFonts w:cstheme="minorHAnsi"/>
          <w:sz w:val="24"/>
          <w:szCs w:val="24"/>
        </w:rPr>
        <w:t>autonomy &amp; independence and long-term &amp; palliative care</w:t>
      </w:r>
      <w:r w:rsidR="008810ED">
        <w:rPr>
          <w:rFonts w:cstheme="minorHAnsi"/>
          <w:sz w:val="24"/>
          <w:szCs w:val="24"/>
        </w:rPr>
        <w:t xml:space="preserve"> </w:t>
      </w:r>
      <w:r w:rsidR="00FE7BF9">
        <w:rPr>
          <w:rFonts w:cstheme="minorHAnsi"/>
          <w:sz w:val="24"/>
          <w:szCs w:val="24"/>
        </w:rPr>
        <w:t xml:space="preserve">are </w:t>
      </w:r>
      <w:r w:rsidR="008810ED">
        <w:rPr>
          <w:rFonts w:cstheme="minorHAnsi"/>
          <w:sz w:val="24"/>
          <w:szCs w:val="24"/>
        </w:rPr>
        <w:t>also submitted.</w:t>
      </w:r>
    </w:p>
    <w:p w14:paraId="73BE5A89" w14:textId="77777777" w:rsidR="00783070" w:rsidRDefault="00783070" w:rsidP="00783070">
      <w:pPr>
        <w:rPr>
          <w:rFonts w:cstheme="minorHAnsi"/>
          <w:sz w:val="24"/>
          <w:szCs w:val="24"/>
        </w:rPr>
      </w:pPr>
      <w:r>
        <w:rPr>
          <w:rFonts w:cstheme="minorHAnsi"/>
          <w:sz w:val="24"/>
          <w:szCs w:val="24"/>
        </w:rPr>
        <w:t>Further resources:</w:t>
      </w:r>
    </w:p>
    <w:p w14:paraId="08E86EBA" w14:textId="178FD27B" w:rsidR="002C6BEC" w:rsidRPr="002C6BEC" w:rsidRDefault="002C6BEC" w:rsidP="002C6BEC">
      <w:pPr>
        <w:pStyle w:val="ListParagraph"/>
        <w:numPr>
          <w:ilvl w:val="0"/>
          <w:numId w:val="3"/>
        </w:numPr>
        <w:spacing w:after="0" w:line="240" w:lineRule="auto"/>
        <w:rPr>
          <w:rFonts w:ascii="Calibri" w:eastAsia="Times New Roman" w:hAnsi="Calibri" w:cs="Times New Roman"/>
          <w:sz w:val="24"/>
          <w:szCs w:val="24"/>
          <w:lang w:val="es-ES_tradnl" w:eastAsia="es-ES"/>
        </w:rPr>
      </w:pPr>
      <w:proofErr w:type="spellStart"/>
      <w:r w:rsidRPr="002C6BEC">
        <w:rPr>
          <w:rFonts w:ascii="Calibri" w:eastAsia="Times New Roman" w:hAnsi="Calibri" w:cs="Times New Roman"/>
          <w:sz w:val="24"/>
          <w:szCs w:val="24"/>
          <w:lang w:val="es-ES_tradnl" w:eastAsia="es-ES"/>
        </w:rPr>
        <w:t>On</w:t>
      </w:r>
      <w:proofErr w:type="spellEnd"/>
      <w:r w:rsidRPr="002C6BEC">
        <w:rPr>
          <w:rFonts w:ascii="Calibri" w:eastAsia="Times New Roman" w:hAnsi="Calibri" w:cs="Times New Roman"/>
          <w:sz w:val="24"/>
          <w:szCs w:val="24"/>
          <w:lang w:val="es-ES_tradnl" w:eastAsia="es-ES"/>
        </w:rPr>
        <w:t xml:space="preserve"> </w:t>
      </w:r>
      <w:hyperlink r:id="rId9" w:history="1">
        <w:r w:rsidRPr="002C6BEC">
          <w:rPr>
            <w:rStyle w:val="Hyperlink"/>
            <w:rFonts w:ascii="Calibri" w:eastAsia="Times New Roman" w:hAnsi="Calibri" w:cs="Times New Roman"/>
            <w:sz w:val="24"/>
            <w:szCs w:val="24"/>
            <w:lang w:val="es-ES_tradnl" w:eastAsia="es-ES"/>
          </w:rPr>
          <w:t>non-</w:t>
        </w:r>
        <w:proofErr w:type="spellStart"/>
        <w:r w:rsidRPr="002C6BEC">
          <w:rPr>
            <w:rStyle w:val="Hyperlink"/>
            <w:rFonts w:ascii="Calibri" w:eastAsia="Times New Roman" w:hAnsi="Calibri" w:cs="Times New Roman"/>
            <w:sz w:val="24"/>
            <w:szCs w:val="24"/>
            <w:lang w:val="es-ES_tradnl" w:eastAsia="es-ES"/>
          </w:rPr>
          <w:t>discrimination</w:t>
        </w:r>
        <w:proofErr w:type="spellEnd"/>
        <w:r w:rsidRPr="002C6BEC">
          <w:rPr>
            <w:rStyle w:val="Hyperlink"/>
            <w:rFonts w:ascii="Calibri" w:eastAsia="Times New Roman" w:hAnsi="Calibri" w:cs="Times New Roman"/>
            <w:sz w:val="24"/>
            <w:szCs w:val="24"/>
            <w:lang w:val="es-ES_tradnl" w:eastAsia="es-ES"/>
          </w:rPr>
          <w:t xml:space="preserve"> and </w:t>
        </w:r>
        <w:proofErr w:type="spellStart"/>
        <w:r w:rsidRPr="002C6BEC">
          <w:rPr>
            <w:rStyle w:val="Hyperlink"/>
            <w:rFonts w:ascii="Calibri" w:eastAsia="Times New Roman" w:hAnsi="Calibri" w:cs="Times New Roman"/>
            <w:sz w:val="24"/>
            <w:szCs w:val="24"/>
            <w:lang w:val="es-ES_tradnl" w:eastAsia="es-ES"/>
          </w:rPr>
          <w:t>equality</w:t>
        </w:r>
        <w:proofErr w:type="spellEnd"/>
      </w:hyperlink>
    </w:p>
    <w:p w14:paraId="7B4EA572" w14:textId="77777777" w:rsidR="00783070" w:rsidRPr="00544CE1" w:rsidRDefault="00696733" w:rsidP="00783070">
      <w:pPr>
        <w:pStyle w:val="ListParagraph"/>
        <w:numPr>
          <w:ilvl w:val="0"/>
          <w:numId w:val="3"/>
        </w:numPr>
        <w:rPr>
          <w:rStyle w:val="Hyperlink"/>
          <w:rFonts w:cstheme="minorHAnsi"/>
          <w:color w:val="auto"/>
          <w:sz w:val="24"/>
          <w:szCs w:val="24"/>
          <w:u w:val="none"/>
        </w:rPr>
      </w:pPr>
      <w:hyperlink r:id="rId10" w:history="1">
        <w:r w:rsidR="00783070" w:rsidRPr="00783070">
          <w:rPr>
            <w:rStyle w:val="Hyperlink"/>
            <w:rFonts w:cstheme="minorHAnsi"/>
            <w:sz w:val="24"/>
            <w:szCs w:val="24"/>
          </w:rPr>
          <w:t>Older persons’ self-advocacy handbook</w:t>
        </w:r>
      </w:hyperlink>
    </w:p>
    <w:p w14:paraId="6608E101" w14:textId="77777777" w:rsidR="00783070" w:rsidRDefault="00783070" w:rsidP="00783070">
      <w:pPr>
        <w:pStyle w:val="ListParagraph"/>
        <w:rPr>
          <w:rFonts w:cstheme="minorHAnsi"/>
          <w:sz w:val="24"/>
          <w:szCs w:val="24"/>
        </w:rPr>
      </w:pPr>
    </w:p>
    <w:p w14:paraId="7DACDB65" w14:textId="34522E0D" w:rsidR="00783070" w:rsidRPr="00783070" w:rsidRDefault="00783070" w:rsidP="00783070">
      <w:pPr>
        <w:spacing w:before="120" w:after="0" w:line="240" w:lineRule="auto"/>
        <w:rPr>
          <w:rFonts w:cstheme="minorHAnsi"/>
          <w:sz w:val="24"/>
          <w:szCs w:val="24"/>
        </w:rPr>
      </w:pPr>
      <w:r w:rsidRPr="00783070">
        <w:rPr>
          <w:rFonts w:cstheme="minorHAnsi"/>
          <w:sz w:val="24"/>
          <w:szCs w:val="24"/>
        </w:rPr>
        <w:t xml:space="preserve">For more information: </w:t>
      </w:r>
      <w:hyperlink r:id="rId11" w:history="1">
        <w:proofErr w:type="spellStart"/>
        <w:r w:rsidR="00FE7BF9" w:rsidRPr="00FE7BF9">
          <w:rPr>
            <w:rStyle w:val="Hyperlink"/>
            <w:rFonts w:cstheme="minorHAnsi"/>
            <w:sz w:val="24"/>
            <w:szCs w:val="24"/>
          </w:rPr>
          <w:t>Nena</w:t>
        </w:r>
        <w:proofErr w:type="spellEnd"/>
        <w:r w:rsidR="00FE7BF9" w:rsidRPr="00FE7BF9">
          <w:rPr>
            <w:rStyle w:val="Hyperlink"/>
            <w:rFonts w:cstheme="minorHAnsi"/>
            <w:sz w:val="24"/>
            <w:szCs w:val="24"/>
          </w:rPr>
          <w:t xml:space="preserve"> </w:t>
        </w:r>
        <w:proofErr w:type="spellStart"/>
        <w:r w:rsidR="00FE7BF9" w:rsidRPr="00FE7BF9">
          <w:rPr>
            <w:rStyle w:val="Hyperlink"/>
            <w:rFonts w:cstheme="minorHAnsi"/>
            <w:sz w:val="24"/>
            <w:szCs w:val="24"/>
          </w:rPr>
          <w:t>Georgantzi</w:t>
        </w:r>
        <w:proofErr w:type="spellEnd"/>
      </w:hyperlink>
      <w:r w:rsidR="00FE7BF9">
        <w:rPr>
          <w:rFonts w:cstheme="minorHAnsi"/>
          <w:sz w:val="24"/>
          <w:szCs w:val="24"/>
        </w:rPr>
        <w:t>, Human Rights Officer</w:t>
      </w:r>
      <w:r w:rsidRPr="00783070">
        <w:rPr>
          <w:rFonts w:cstheme="minorHAnsi"/>
          <w:sz w:val="24"/>
          <w:szCs w:val="24"/>
        </w:rPr>
        <w:t xml:space="preserve">, </w:t>
      </w:r>
      <w:proofErr w:type="gramStart"/>
      <w:r w:rsidRPr="00783070">
        <w:rPr>
          <w:rFonts w:cstheme="minorHAnsi"/>
          <w:sz w:val="24"/>
          <w:szCs w:val="24"/>
        </w:rPr>
        <w:t>AGE</w:t>
      </w:r>
      <w:proofErr w:type="gramEnd"/>
      <w:r w:rsidRPr="00783070">
        <w:rPr>
          <w:rFonts w:cstheme="minorHAnsi"/>
          <w:sz w:val="24"/>
          <w:szCs w:val="24"/>
        </w:rPr>
        <w:t xml:space="preserve"> Platform Europe</w:t>
      </w:r>
    </w:p>
    <w:p w14:paraId="6B69B171" w14:textId="77777777" w:rsidR="00783070" w:rsidRDefault="00783070">
      <w:pPr>
        <w:rPr>
          <w:rFonts w:cstheme="minorHAnsi"/>
          <w:sz w:val="24"/>
          <w:szCs w:val="24"/>
        </w:rPr>
      </w:pPr>
      <w:r>
        <w:rPr>
          <w:rFonts w:cstheme="minorHAnsi"/>
          <w:sz w:val="24"/>
          <w:szCs w:val="24"/>
        </w:rPr>
        <w:br w:type="page"/>
      </w:r>
    </w:p>
    <w:p w14:paraId="412567C1" w14:textId="77777777" w:rsidR="00FE7BF9" w:rsidRDefault="00FE7BF9" w:rsidP="000701EB">
      <w:pPr>
        <w:spacing w:line="100" w:lineRule="atLeast"/>
        <w:jc w:val="center"/>
        <w:rPr>
          <w:rFonts w:ascii="Calibri" w:hAnsi="Calibri" w:cs="Calibri"/>
          <w:b/>
          <w:color w:val="215868" w:themeColor="accent5" w:themeShade="80"/>
          <w:sz w:val="24"/>
        </w:rPr>
      </w:pPr>
      <w:r w:rsidRPr="003141C8">
        <w:rPr>
          <w:rFonts w:ascii="Calibri" w:hAnsi="Calibri" w:cs="Calibri"/>
          <w:b/>
          <w:color w:val="215868" w:themeColor="accent5" w:themeShade="80"/>
          <w:sz w:val="24"/>
        </w:rPr>
        <w:lastRenderedPageBreak/>
        <w:t>Understanding of the right</w:t>
      </w:r>
    </w:p>
    <w:p w14:paraId="15EB8B3D" w14:textId="77777777" w:rsidR="000701EB" w:rsidRPr="00B9628E" w:rsidRDefault="000701EB" w:rsidP="000701EB">
      <w:pPr>
        <w:spacing w:after="0" w:line="240" w:lineRule="auto"/>
        <w:jc w:val="both"/>
        <w:rPr>
          <w:rFonts w:cstheme="minorHAnsi"/>
          <w:b/>
        </w:rPr>
      </w:pPr>
      <w:r w:rsidRPr="00B9628E">
        <w:rPr>
          <w:rFonts w:cstheme="minorHAnsi"/>
        </w:rPr>
        <w:t>Older persons have the right to equality and freedom from discrimination on an equal basis with others. This right includes prohibition of discrimination on the basis of their age or on any other ground, alone or in combination with another ground or grounds.</w:t>
      </w:r>
    </w:p>
    <w:p w14:paraId="68DD3F46" w14:textId="77777777" w:rsidR="000701EB" w:rsidRDefault="000701EB" w:rsidP="000701EB">
      <w:pPr>
        <w:spacing w:after="0" w:line="240" w:lineRule="auto"/>
        <w:jc w:val="both"/>
        <w:rPr>
          <w:rFonts w:cstheme="minorHAnsi"/>
          <w:b/>
        </w:rPr>
      </w:pPr>
    </w:p>
    <w:p w14:paraId="48A86F88" w14:textId="77777777" w:rsidR="000701EB" w:rsidRPr="00B9628E" w:rsidRDefault="000701EB" w:rsidP="000701EB">
      <w:pPr>
        <w:spacing w:after="0" w:line="240" w:lineRule="auto"/>
        <w:jc w:val="both"/>
        <w:rPr>
          <w:rFonts w:cstheme="minorHAnsi"/>
          <w:b/>
        </w:rPr>
      </w:pPr>
    </w:p>
    <w:p w14:paraId="010ED712" w14:textId="77777777" w:rsidR="000701EB" w:rsidRDefault="000701EB" w:rsidP="000701EB">
      <w:pPr>
        <w:spacing w:after="0" w:line="240" w:lineRule="auto"/>
        <w:jc w:val="center"/>
        <w:rPr>
          <w:rFonts w:cstheme="minorHAnsi"/>
          <w:b/>
          <w:color w:val="215868" w:themeColor="accent5" w:themeShade="80"/>
          <w:sz w:val="24"/>
        </w:rPr>
      </w:pPr>
      <w:r w:rsidRPr="000701EB">
        <w:rPr>
          <w:rFonts w:cstheme="minorHAnsi"/>
          <w:b/>
          <w:color w:val="215868" w:themeColor="accent5" w:themeShade="80"/>
          <w:sz w:val="24"/>
        </w:rPr>
        <w:t>Scope of the right</w:t>
      </w:r>
    </w:p>
    <w:p w14:paraId="0AD13D58" w14:textId="77777777" w:rsidR="000701EB" w:rsidRPr="000701EB" w:rsidRDefault="000701EB" w:rsidP="000701EB">
      <w:pPr>
        <w:spacing w:after="0" w:line="240" w:lineRule="auto"/>
        <w:jc w:val="both"/>
        <w:rPr>
          <w:rFonts w:cstheme="minorHAnsi"/>
          <w:b/>
          <w:color w:val="215868" w:themeColor="accent5" w:themeShade="80"/>
          <w:sz w:val="24"/>
        </w:rPr>
      </w:pPr>
    </w:p>
    <w:p w14:paraId="315D86EF" w14:textId="77777777" w:rsidR="000701EB" w:rsidRDefault="000701EB" w:rsidP="000701EB">
      <w:pPr>
        <w:pStyle w:val="ListParagraph"/>
        <w:numPr>
          <w:ilvl w:val="0"/>
          <w:numId w:val="10"/>
        </w:numPr>
        <w:spacing w:after="0" w:line="240" w:lineRule="auto"/>
        <w:jc w:val="both"/>
        <w:rPr>
          <w:rFonts w:cstheme="minorHAnsi"/>
        </w:rPr>
      </w:pPr>
      <w:r w:rsidRPr="00B9628E">
        <w:rPr>
          <w:rFonts w:cstheme="minorHAnsi"/>
        </w:rPr>
        <w:t xml:space="preserve">The right to equality and non-discrimination against older persons </w:t>
      </w:r>
      <w:r>
        <w:rPr>
          <w:rFonts w:cstheme="minorHAnsi"/>
        </w:rPr>
        <w:t>shall cover discrimination on the basis of old age. The personal scope of the right should not be based on chronological age alone, but cover old age in combination with social factors, such as perceptions and attitudes.</w:t>
      </w:r>
    </w:p>
    <w:p w14:paraId="6C0E5DE8" w14:textId="77777777" w:rsidR="000701EB" w:rsidRPr="00B9628E" w:rsidRDefault="000701EB" w:rsidP="000701EB">
      <w:pPr>
        <w:pStyle w:val="ListParagraph"/>
        <w:numPr>
          <w:ilvl w:val="0"/>
          <w:numId w:val="10"/>
        </w:numPr>
        <w:spacing w:after="0" w:line="240" w:lineRule="auto"/>
        <w:jc w:val="both"/>
        <w:rPr>
          <w:rFonts w:cstheme="minorHAnsi"/>
        </w:rPr>
      </w:pPr>
      <w:r w:rsidRPr="00B9628E">
        <w:rPr>
          <w:rFonts w:cstheme="minorHAnsi"/>
        </w:rPr>
        <w:t>The right to equality and non-discrimination against older persons shall apply to every aspect of life without limitation.</w:t>
      </w:r>
    </w:p>
    <w:p w14:paraId="7E3585E0" w14:textId="77777777" w:rsidR="000701EB" w:rsidRPr="00B9628E" w:rsidRDefault="000701EB" w:rsidP="000701EB">
      <w:pPr>
        <w:pStyle w:val="NoSpacing"/>
        <w:numPr>
          <w:ilvl w:val="0"/>
          <w:numId w:val="10"/>
        </w:numPr>
        <w:jc w:val="both"/>
        <w:rPr>
          <w:rFonts w:cstheme="minorHAnsi"/>
        </w:rPr>
      </w:pPr>
      <w:r w:rsidRPr="00B9628E">
        <w:rPr>
          <w:rFonts w:cstheme="minorHAnsi"/>
        </w:rPr>
        <w:t>The prohibition of discrimination against older persons shall not be subject to exceptions and shall cover individual, systemic, structural and institutional discrimination.</w:t>
      </w:r>
    </w:p>
    <w:p w14:paraId="665DDCE1" w14:textId="77777777" w:rsidR="000701EB" w:rsidRPr="00B9628E" w:rsidRDefault="000701EB" w:rsidP="000701EB">
      <w:pPr>
        <w:pStyle w:val="NoSpacing"/>
        <w:numPr>
          <w:ilvl w:val="0"/>
          <w:numId w:val="10"/>
        </w:numPr>
        <w:jc w:val="both"/>
        <w:rPr>
          <w:rFonts w:cstheme="minorHAnsi"/>
          <w:lang w:val="en-GB"/>
        </w:rPr>
      </w:pPr>
      <w:r w:rsidRPr="00B9628E">
        <w:rPr>
          <w:rFonts w:cstheme="minorHAnsi"/>
          <w:lang w:val="en-GB"/>
        </w:rPr>
        <w:t xml:space="preserve">The right shall encompass </w:t>
      </w:r>
      <w:r w:rsidRPr="00B9628E">
        <w:rPr>
          <w:rFonts w:cstheme="minorHAnsi"/>
        </w:rPr>
        <w:t>all forms of discrimination against older persons including, inter alia, direct, indirect, by association, by perception, victimization, harassment and denial of reasonable accommodation.</w:t>
      </w:r>
    </w:p>
    <w:p w14:paraId="39EFA358" w14:textId="77777777" w:rsidR="000701EB" w:rsidRPr="00B9628E" w:rsidRDefault="000701EB" w:rsidP="000701EB">
      <w:pPr>
        <w:pStyle w:val="ListParagraph"/>
        <w:numPr>
          <w:ilvl w:val="0"/>
          <w:numId w:val="10"/>
        </w:numPr>
        <w:spacing w:after="0" w:line="240" w:lineRule="auto"/>
        <w:jc w:val="both"/>
        <w:rPr>
          <w:rFonts w:cstheme="minorHAnsi"/>
        </w:rPr>
      </w:pPr>
      <w:r w:rsidRPr="00B9628E">
        <w:rPr>
          <w:rFonts w:cstheme="minorHAnsi"/>
        </w:rPr>
        <w:t xml:space="preserve">The right shall include prohibition </w:t>
      </w:r>
      <w:proofErr w:type="gramStart"/>
      <w:r w:rsidRPr="00B9628E">
        <w:rPr>
          <w:rFonts w:cstheme="minorHAnsi"/>
        </w:rPr>
        <w:t>of multiple discrimination covering all grounds</w:t>
      </w:r>
      <w:proofErr w:type="gramEnd"/>
      <w:r w:rsidRPr="00B9628E">
        <w:rPr>
          <w:rFonts w:cstheme="minorHAnsi"/>
        </w:rPr>
        <w:t>.</w:t>
      </w:r>
    </w:p>
    <w:p w14:paraId="395A2742" w14:textId="77777777" w:rsidR="000701EB" w:rsidRDefault="000701EB" w:rsidP="000701EB">
      <w:pPr>
        <w:spacing w:after="0" w:line="240" w:lineRule="auto"/>
        <w:jc w:val="both"/>
        <w:rPr>
          <w:rFonts w:cstheme="minorHAnsi"/>
          <w:b/>
        </w:rPr>
      </w:pPr>
    </w:p>
    <w:p w14:paraId="00CB7FDE" w14:textId="77777777" w:rsidR="000701EB" w:rsidRPr="00B9628E" w:rsidRDefault="000701EB" w:rsidP="000701EB">
      <w:pPr>
        <w:spacing w:after="0" w:line="240" w:lineRule="auto"/>
        <w:jc w:val="both"/>
        <w:rPr>
          <w:rFonts w:cstheme="minorHAnsi"/>
          <w:b/>
        </w:rPr>
      </w:pPr>
    </w:p>
    <w:p w14:paraId="52A0E2F8" w14:textId="77777777" w:rsidR="000701EB" w:rsidRDefault="000701EB" w:rsidP="000701EB">
      <w:pPr>
        <w:spacing w:after="0" w:line="240" w:lineRule="auto"/>
        <w:jc w:val="center"/>
        <w:rPr>
          <w:rFonts w:cstheme="minorHAnsi"/>
          <w:b/>
          <w:color w:val="215868" w:themeColor="accent5" w:themeShade="80"/>
          <w:sz w:val="24"/>
        </w:rPr>
      </w:pPr>
      <w:r w:rsidRPr="000701EB">
        <w:rPr>
          <w:rFonts w:cstheme="minorHAnsi"/>
          <w:b/>
          <w:color w:val="215868" w:themeColor="accent5" w:themeShade="80"/>
          <w:sz w:val="24"/>
        </w:rPr>
        <w:t>State obligations</w:t>
      </w:r>
    </w:p>
    <w:p w14:paraId="182B1570" w14:textId="77777777" w:rsidR="000701EB" w:rsidRPr="000701EB" w:rsidRDefault="000701EB" w:rsidP="000701EB">
      <w:pPr>
        <w:spacing w:after="0" w:line="240" w:lineRule="auto"/>
        <w:jc w:val="both"/>
        <w:rPr>
          <w:rFonts w:cstheme="minorHAnsi"/>
          <w:b/>
          <w:color w:val="215868" w:themeColor="accent5" w:themeShade="80"/>
          <w:sz w:val="24"/>
        </w:rPr>
      </w:pPr>
    </w:p>
    <w:p w14:paraId="013035B0" w14:textId="77777777" w:rsidR="000701EB" w:rsidRPr="00B9628E" w:rsidRDefault="000701EB" w:rsidP="000701EB">
      <w:pPr>
        <w:spacing w:after="0" w:line="240" w:lineRule="auto"/>
        <w:jc w:val="both"/>
        <w:rPr>
          <w:rFonts w:cstheme="minorHAnsi"/>
        </w:rPr>
      </w:pPr>
      <w:r w:rsidRPr="00B9628E">
        <w:rPr>
          <w:rFonts w:cstheme="minorHAnsi"/>
        </w:rPr>
        <w:t xml:space="preserve">States Parties shall have a duty to take all appropriate measures: </w:t>
      </w:r>
    </w:p>
    <w:p w14:paraId="31886280" w14:textId="77777777" w:rsidR="000701EB" w:rsidRDefault="000701EB" w:rsidP="000701EB">
      <w:pPr>
        <w:pStyle w:val="ListParagraph"/>
        <w:numPr>
          <w:ilvl w:val="0"/>
          <w:numId w:val="11"/>
        </w:numPr>
        <w:spacing w:after="0" w:line="240" w:lineRule="auto"/>
        <w:jc w:val="both"/>
        <w:rPr>
          <w:rFonts w:cstheme="minorHAnsi"/>
        </w:rPr>
      </w:pPr>
      <w:r>
        <w:rPr>
          <w:rFonts w:cstheme="minorHAnsi"/>
        </w:rPr>
        <w:t>to adopt laws that explicitly prohibit discrimination on the basis of age in every aspect of life</w:t>
      </w:r>
    </w:p>
    <w:p w14:paraId="58379FDE"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modify or abolish existing laws, regulations, customs and practices that constitute discrimination against older persons</w:t>
      </w:r>
    </w:p>
    <w:p w14:paraId="68FCE50B"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review all policies, decisions and laws, in particular age limits and age proxies, with regard to their impact on older persons and ensure that these do not undermine human rights principles, including equality, dignity</w:t>
      </w:r>
      <w:r>
        <w:rPr>
          <w:rFonts w:cstheme="minorHAnsi"/>
        </w:rPr>
        <w:t xml:space="preserve"> and independence</w:t>
      </w:r>
    </w:p>
    <w:p w14:paraId="48EBD3FA"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ensure formal and substantive equality of older persons, including through reasonable accommodation and specific measures that are necessary to achieve de facto equality and alleviate the adverse effect of ageism that serves to justify discrimination and leads to the exclusion, abuse and neglect of older people</w:t>
      </w:r>
    </w:p>
    <w:p w14:paraId="1A2FF6C3"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 xml:space="preserve">to ensure protection from multiple discrimination, including for those groups who are at particular risk </w:t>
      </w:r>
    </w:p>
    <w:p w14:paraId="3D1A619E"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eliminate both individual and systemic, institutional and structural discrimination</w:t>
      </w:r>
    </w:p>
    <w:p w14:paraId="381FCEE1"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 xml:space="preserve">to </w:t>
      </w:r>
      <w:r>
        <w:rPr>
          <w:rFonts w:cstheme="minorHAnsi"/>
        </w:rPr>
        <w:t>eradicate</w:t>
      </w:r>
      <w:r w:rsidRPr="00B9628E">
        <w:rPr>
          <w:rFonts w:cstheme="minorHAnsi"/>
        </w:rPr>
        <w:t xml:space="preserve"> harmful ageist social norms and practices</w:t>
      </w:r>
    </w:p>
    <w:p w14:paraId="37505778"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ensure easy and time</w:t>
      </w:r>
      <w:r>
        <w:rPr>
          <w:rFonts w:cstheme="minorHAnsi"/>
        </w:rPr>
        <w:t>l</w:t>
      </w:r>
      <w:r w:rsidRPr="00B9628E">
        <w:rPr>
          <w:rFonts w:cstheme="minorHAnsi"/>
        </w:rPr>
        <w:t>y access of older persons to tailored and comprehensive assistance in making claims and accessing justice, as well as to redress and reparation for age discrimination</w:t>
      </w:r>
    </w:p>
    <w:p w14:paraId="2038663F"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establish monitoring mechanisms, such as national equality bodies, with a comprehensive mandate on age discrimination</w:t>
      </w:r>
    </w:p>
    <w:p w14:paraId="2EB73596" w14:textId="77777777" w:rsidR="000701EB" w:rsidRPr="00B9628E" w:rsidRDefault="000701EB" w:rsidP="000701EB">
      <w:pPr>
        <w:pStyle w:val="ListParagraph"/>
        <w:numPr>
          <w:ilvl w:val="0"/>
          <w:numId w:val="11"/>
        </w:numPr>
        <w:spacing w:after="0" w:line="240" w:lineRule="auto"/>
        <w:jc w:val="both"/>
        <w:rPr>
          <w:rFonts w:cstheme="minorHAnsi"/>
        </w:rPr>
      </w:pPr>
      <w:r w:rsidRPr="00B9628E">
        <w:rPr>
          <w:rFonts w:cstheme="minorHAnsi"/>
        </w:rPr>
        <w:t>to promote information, research and public awareness around equality and non-discrimination against older persons, inter alia, by:</w:t>
      </w:r>
    </w:p>
    <w:p w14:paraId="458F85E5"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 xml:space="preserve">Raising awareness of the rights, capacities and contributions of older persons </w:t>
      </w:r>
    </w:p>
    <w:p w14:paraId="2E108A31"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 xml:space="preserve">Promoting awareness of the benefits of age equality and of investing in older age </w:t>
      </w:r>
    </w:p>
    <w:p w14:paraId="4B925823"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Promoting a positive image of ageing</w:t>
      </w:r>
    </w:p>
    <w:p w14:paraId="484C047D"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 xml:space="preserve">Countering any discriminatory systemic ageist perceptions of, and practices towards, older persons </w:t>
      </w:r>
    </w:p>
    <w:p w14:paraId="27551E15"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lastRenderedPageBreak/>
        <w:t>Undertaking or promoting research on ageing and on issues particularly affecting older persons</w:t>
      </w:r>
    </w:p>
    <w:p w14:paraId="076FC9F9"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 xml:space="preserve">Ensuring data is collected, disaggregated, analysed, utilised and disseminated by all ages, and take into account </w:t>
      </w:r>
      <w:proofErr w:type="spellStart"/>
      <w:r w:rsidRPr="00B9628E">
        <w:rPr>
          <w:rFonts w:cstheme="minorHAnsi"/>
        </w:rPr>
        <w:t>intersectionality</w:t>
      </w:r>
      <w:proofErr w:type="spellEnd"/>
      <w:r w:rsidRPr="00B9628E">
        <w:rPr>
          <w:rFonts w:cstheme="minorHAnsi"/>
        </w:rPr>
        <w:t xml:space="preserve"> </w:t>
      </w:r>
    </w:p>
    <w:p w14:paraId="66A40DBA"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Providing accessible, appropriate information to older persons on their rights and entitlement to benefits and resources</w:t>
      </w:r>
    </w:p>
    <w:p w14:paraId="3EAF8238"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Engaging and making older persons partners and active participants in shaping social policies and public programmes which relate to their rights and interests</w:t>
      </w:r>
    </w:p>
    <w:p w14:paraId="6E237C87" w14:textId="77777777" w:rsidR="000701EB" w:rsidRPr="00B9628E" w:rsidRDefault="000701EB" w:rsidP="000701EB">
      <w:pPr>
        <w:pStyle w:val="ListParagraph"/>
        <w:numPr>
          <w:ilvl w:val="0"/>
          <w:numId w:val="12"/>
        </w:numPr>
        <w:spacing w:after="0" w:line="240" w:lineRule="auto"/>
        <w:jc w:val="both"/>
        <w:rPr>
          <w:rFonts w:cstheme="minorHAnsi"/>
        </w:rPr>
      </w:pPr>
      <w:r w:rsidRPr="00B9628E">
        <w:rPr>
          <w:rFonts w:cstheme="minorHAnsi"/>
        </w:rPr>
        <w:t>Promoting intergenerational interactions and solidarity.</w:t>
      </w:r>
    </w:p>
    <w:p w14:paraId="1D870DB3" w14:textId="1E241242" w:rsidR="00FE7BF9" w:rsidRPr="00F50121" w:rsidRDefault="00FE7BF9" w:rsidP="000701EB">
      <w:pPr>
        <w:spacing w:line="100" w:lineRule="atLeast"/>
        <w:jc w:val="both"/>
        <w:rPr>
          <w:rFonts w:ascii="Calibri" w:hAnsi="Calibri" w:cs="Calibri"/>
        </w:rPr>
      </w:pPr>
    </w:p>
    <w:sectPr w:rsidR="00FE7BF9" w:rsidRPr="00F50121" w:rsidSect="004A3F2E">
      <w:headerReference w:type="even" r:id="rId12"/>
      <w:headerReference w:type="default" r:id="rId13"/>
      <w:footerReference w:type="even" r:id="rId14"/>
      <w:footerReference w:type="default" r:id="rId15"/>
      <w:headerReference w:type="first" r:id="rId16"/>
      <w:footerReference w:type="first" r:id="rId17"/>
      <w:pgSz w:w="11906" w:h="16838"/>
      <w:pgMar w:top="1276" w:right="1418"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0624" w14:textId="77777777" w:rsidR="00696733" w:rsidRDefault="00696733" w:rsidP="00CD0A68">
      <w:pPr>
        <w:spacing w:after="0" w:line="240" w:lineRule="auto"/>
      </w:pPr>
      <w:r>
        <w:separator/>
      </w:r>
    </w:p>
  </w:endnote>
  <w:endnote w:type="continuationSeparator" w:id="0">
    <w:p w14:paraId="1C559B33" w14:textId="77777777" w:rsidR="00696733" w:rsidRDefault="00696733" w:rsidP="00C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2E15" w14:textId="77777777" w:rsidR="009C5269" w:rsidRDefault="009C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D2AA" w14:textId="77777777" w:rsidR="009C5269" w:rsidRDefault="009C5269" w:rsidP="00F719F9">
    <w:pPr>
      <w:pStyle w:val="Footer"/>
      <w:spacing w:before="120"/>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51DF" w14:textId="77777777" w:rsidR="009C5269" w:rsidRDefault="009C5269" w:rsidP="00783070">
    <w:pPr>
      <w:pStyle w:val="Footer"/>
      <w:spacing w:before="120"/>
      <w:ind w:left="1440"/>
    </w:pPr>
    <w:r w:rsidRPr="00345C1B">
      <w:rPr>
        <w:noProof/>
        <w:color w:val="404040" w:themeColor="text1" w:themeTint="BF"/>
        <w:lang w:eastAsia="en-GB"/>
      </w:rPr>
      <w:drawing>
        <wp:anchor distT="0" distB="0" distL="114300" distR="114300" simplePos="0" relativeHeight="251658240" behindDoc="0" locked="0" layoutInCell="1" allowOverlap="1" wp14:anchorId="7127C130" wp14:editId="1D2B37CA">
          <wp:simplePos x="0" y="0"/>
          <wp:positionH relativeFrom="column">
            <wp:posOffset>103505</wp:posOffset>
          </wp:positionH>
          <wp:positionV relativeFrom="paragraph">
            <wp:posOffset>69850</wp:posOffset>
          </wp:positionV>
          <wp:extent cx="732790" cy="477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477520"/>
                  </a:xfrm>
                  <a:prstGeom prst="rect">
                    <a:avLst/>
                  </a:prstGeom>
                  <a:noFill/>
                </pic:spPr>
              </pic:pic>
            </a:graphicData>
          </a:graphic>
          <wp14:sizeRelH relativeFrom="page">
            <wp14:pctWidth>0</wp14:pctWidth>
          </wp14:sizeRelH>
          <wp14:sizeRelV relativeFrom="page">
            <wp14:pctHeight>0</wp14:pctHeight>
          </wp14:sizeRelV>
        </wp:anchor>
      </w:drawing>
    </w:r>
    <w:r w:rsidRPr="00345C1B">
      <w:rPr>
        <w:i/>
        <w:iCs/>
        <w:color w:val="404040" w:themeColor="text1" w:themeTint="BF"/>
        <w:sz w:val="18"/>
        <w:szCs w:val="18"/>
        <w:lang w:val="en-US"/>
      </w:rPr>
      <w:t xml:space="preserve">AGE work is </w:t>
    </w:r>
    <w:r w:rsidRPr="00345C1B">
      <w:rPr>
        <w:rFonts w:cs="Arial"/>
        <w:i/>
        <w:iCs/>
        <w:color w:val="404040" w:themeColor="text1" w:themeTint="BF"/>
        <w:sz w:val="18"/>
        <w:szCs w:val="18"/>
        <w:shd w:val="clear" w:color="auto" w:fill="FFFFFF"/>
        <w:lang w:val="en-US"/>
      </w:rPr>
      <w:t xml:space="preserve">co-funded by the </w:t>
    </w:r>
    <w:r w:rsidRPr="00345C1B">
      <w:rPr>
        <w:rFonts w:cs="Arial"/>
        <w:b/>
        <w:i/>
        <w:iCs/>
        <w:color w:val="404040" w:themeColor="text1" w:themeTint="BF"/>
        <w:sz w:val="18"/>
        <w:szCs w:val="18"/>
        <w:shd w:val="clear" w:color="auto" w:fill="FFFFFF"/>
        <w:lang w:val="en-US"/>
      </w:rPr>
      <w:t xml:space="preserve">Rights, Equality and Citizenship </w:t>
    </w:r>
    <w:proofErr w:type="spellStart"/>
    <w:r w:rsidRPr="00345C1B">
      <w:rPr>
        <w:rFonts w:cs="Arial"/>
        <w:b/>
        <w:i/>
        <w:iCs/>
        <w:color w:val="404040" w:themeColor="text1" w:themeTint="BF"/>
        <w:sz w:val="18"/>
        <w:szCs w:val="18"/>
        <w:shd w:val="clear" w:color="auto" w:fill="FFFFFF"/>
        <w:lang w:val="en-US"/>
      </w:rPr>
      <w:t>Programme</w:t>
    </w:r>
    <w:proofErr w:type="spellEnd"/>
    <w:r w:rsidRPr="00345C1B">
      <w:rPr>
        <w:rFonts w:cs="Arial"/>
        <w:i/>
        <w:iCs/>
        <w:color w:val="404040" w:themeColor="text1" w:themeTint="BF"/>
        <w:sz w:val="18"/>
        <w:szCs w:val="18"/>
        <w:shd w:val="clear" w:color="auto" w:fill="FFFFFF"/>
        <w:lang w:val="en-US"/>
      </w:rPr>
      <w:t xml:space="preserve"> of the European Union. </w:t>
    </w:r>
    <w:r w:rsidRPr="00345C1B">
      <w:rPr>
        <w:rFonts w:cs="Arial"/>
        <w:i/>
        <w:iCs/>
        <w:color w:val="404040" w:themeColor="text1" w:themeTint="BF"/>
        <w:sz w:val="18"/>
        <w:szCs w:val="18"/>
        <w:shd w:val="clear" w:color="auto" w:fill="FFFFFF"/>
        <w:lang w:val="en-US"/>
      </w:rPr>
      <w:br/>
      <w:t>The contents of this document are the sole responsibility of AGE Platform Europe and cannot be taken to reflect the views of the European Commission</w:t>
    </w:r>
    <w:r w:rsidRPr="00345C1B">
      <w:rPr>
        <w:rFonts w:ascii="Arial" w:hAnsi="Arial" w:cs="Arial"/>
        <w:i/>
        <w:iCs/>
        <w:color w:val="404040" w:themeColor="text1" w:themeTint="BF"/>
        <w:sz w:val="18"/>
        <w:szCs w:val="18"/>
        <w:shd w:val="clear" w:color="auto" w:fill="FFFFFF"/>
        <w:lang w:val="en-US"/>
      </w:rPr>
      <w:t>.</w:t>
    </w:r>
    <w:r w:rsidRPr="00345C1B">
      <w:rPr>
        <w:color w:val="404040" w:themeColor="text1" w:themeTint="BF"/>
      </w:rPr>
      <w:t xml:space="preserve"> </w:t>
    </w:r>
    <w:r>
      <w:t xml:space="preserve"> </w:t>
    </w:r>
  </w:p>
  <w:p w14:paraId="270988F1" w14:textId="77777777" w:rsidR="009C5269" w:rsidRDefault="009C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9A2A1" w14:textId="77777777" w:rsidR="00696733" w:rsidRDefault="00696733" w:rsidP="00CD0A68">
      <w:pPr>
        <w:spacing w:after="0" w:line="240" w:lineRule="auto"/>
      </w:pPr>
      <w:r>
        <w:separator/>
      </w:r>
    </w:p>
  </w:footnote>
  <w:footnote w:type="continuationSeparator" w:id="0">
    <w:p w14:paraId="72CD3D84" w14:textId="77777777" w:rsidR="00696733" w:rsidRDefault="00696733" w:rsidP="00CD0A68">
      <w:pPr>
        <w:spacing w:after="0" w:line="240" w:lineRule="auto"/>
      </w:pPr>
      <w:r>
        <w:continuationSeparator/>
      </w:r>
    </w:p>
  </w:footnote>
  <w:footnote w:id="1">
    <w:p w14:paraId="3461F6BB" w14:textId="77777777" w:rsidR="009C5269" w:rsidRPr="00F779C1" w:rsidRDefault="009C5269" w:rsidP="00783070">
      <w:pPr>
        <w:pStyle w:val="FootnoteText"/>
        <w:rPr>
          <w:sz w:val="16"/>
          <w:szCs w:val="16"/>
        </w:rPr>
      </w:pPr>
      <w:r w:rsidRPr="00352438">
        <w:rPr>
          <w:rStyle w:val="FootnoteReference"/>
          <w:sz w:val="16"/>
          <w:szCs w:val="16"/>
        </w:rPr>
        <w:footnoteRef/>
      </w:r>
      <w:r w:rsidRPr="00352438">
        <w:rPr>
          <w:sz w:val="16"/>
          <w:szCs w:val="16"/>
        </w:rPr>
        <w:t xml:space="preserve"> All EU countries with the exception of Croatia, Latvia, Luxembourg and Slovakia</w:t>
      </w:r>
    </w:p>
  </w:footnote>
  <w:footnote w:id="2">
    <w:p w14:paraId="2D432ABE" w14:textId="77777777" w:rsidR="009C5269" w:rsidRPr="009B0909" w:rsidRDefault="009C5269" w:rsidP="00783070">
      <w:pPr>
        <w:pStyle w:val="FootnoteText"/>
        <w:rPr>
          <w:sz w:val="16"/>
          <w:szCs w:val="16"/>
          <w:lang w:val="es-ES"/>
        </w:rPr>
      </w:pPr>
      <w:r w:rsidRPr="00204110">
        <w:rPr>
          <w:rStyle w:val="FootnoteReference"/>
          <w:sz w:val="16"/>
          <w:szCs w:val="16"/>
        </w:rPr>
        <w:footnoteRef/>
      </w:r>
      <w:r w:rsidRPr="009B0909">
        <w:rPr>
          <w:sz w:val="16"/>
          <w:szCs w:val="16"/>
          <w:lang w:val="es-ES"/>
        </w:rPr>
        <w:t xml:space="preserve"> FIAPA, ESU, NOPO, EURAG, EDE, OWN Europe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9BA8" w14:textId="77777777" w:rsidR="009C5269" w:rsidRDefault="009C5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6C89" w14:textId="77777777" w:rsidR="009C5269" w:rsidRDefault="009C5269" w:rsidP="00F719F9">
    <w:pPr>
      <w:pStyle w:val="Header"/>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E00C" w14:textId="639A13D3" w:rsidR="009C5269" w:rsidRPr="00345C1B" w:rsidRDefault="009C5269" w:rsidP="00783070">
    <w:pPr>
      <w:spacing w:after="0"/>
      <w:ind w:left="1843"/>
      <w:rPr>
        <w:rFonts w:eastAsia="Calibri"/>
        <w:b/>
        <w:bCs/>
        <w:noProof/>
        <w:color w:val="006284"/>
        <w:sz w:val="24"/>
        <w:szCs w:val="24"/>
        <w:lang w:val="fr-BE" w:eastAsia="en-GB"/>
      </w:rPr>
    </w:pPr>
    <w:r w:rsidRPr="00345C1B">
      <w:rPr>
        <w:noProof/>
        <w:color w:val="006284"/>
        <w:lang w:eastAsia="en-GB"/>
      </w:rPr>
      <w:drawing>
        <wp:anchor distT="0" distB="0" distL="114300" distR="114300" simplePos="0" relativeHeight="251656192" behindDoc="0" locked="0" layoutInCell="1" allowOverlap="1" wp14:anchorId="5B01E034" wp14:editId="720300FB">
          <wp:simplePos x="0" y="0"/>
          <wp:positionH relativeFrom="column">
            <wp:posOffset>-104140</wp:posOffset>
          </wp:positionH>
          <wp:positionV relativeFrom="paragraph">
            <wp:posOffset>53975</wp:posOffset>
          </wp:positionV>
          <wp:extent cx="1038225" cy="676910"/>
          <wp:effectExtent l="0" t="0" r="9525" b="8890"/>
          <wp:wrapSquare wrapText="bothSides"/>
          <wp:docPr id="4" name="Picture 4" descr="AG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8499212" wp14:editId="3975A42A">
          <wp:simplePos x="0" y="0"/>
          <wp:positionH relativeFrom="column">
            <wp:posOffset>5545455</wp:posOffset>
          </wp:positionH>
          <wp:positionV relativeFrom="paragraph">
            <wp:posOffset>-97790</wp:posOffset>
          </wp:positionV>
          <wp:extent cx="600075" cy="542925"/>
          <wp:effectExtent l="0" t="0" r="9525" b="9525"/>
          <wp:wrapSquare wrapText="bothSides"/>
          <wp:docPr id="5" name="Picture 5" descr="C:\Users\annem\AppData\Local\Microsoft\Windows\Temporary Internet Files\Content.Word\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em\AppData\Local\Microsoft\Windows\Temporary Internet Files\Content.Word\Sans titr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1B">
      <w:rPr>
        <w:rFonts w:eastAsiaTheme="minorEastAsia"/>
        <w:b/>
        <w:bCs/>
        <w:noProof/>
        <w:color w:val="006284"/>
        <w:sz w:val="24"/>
        <w:szCs w:val="24"/>
        <w:lang w:val="fr-BE" w:eastAsia="en-GB"/>
      </w:rPr>
      <w:t>AGE Platform Europe</w:t>
    </w:r>
  </w:p>
  <w:p w14:paraId="4F79231F" w14:textId="77777777" w:rsidR="009C5269" w:rsidRPr="00345C1B" w:rsidRDefault="009C5269" w:rsidP="00783070">
    <w:pPr>
      <w:spacing w:after="0"/>
      <w:ind w:left="1843"/>
      <w:rPr>
        <w:rFonts w:ascii="Arial" w:eastAsiaTheme="minorEastAsia" w:hAnsi="Arial" w:cs="Arial"/>
        <w:noProof/>
        <w:color w:val="006284"/>
        <w:sz w:val="16"/>
        <w:szCs w:val="16"/>
        <w:lang w:val="fr-BE" w:eastAsia="en-GB"/>
      </w:rPr>
    </w:pPr>
    <w:r w:rsidRPr="00345C1B">
      <w:rPr>
        <w:rFonts w:ascii="Arial" w:eastAsiaTheme="minorEastAsia" w:hAnsi="Arial" w:cs="Arial"/>
        <w:noProof/>
        <w:color w:val="006284"/>
        <w:sz w:val="16"/>
        <w:szCs w:val="16"/>
        <w:lang w:val="fr-BE" w:eastAsia="en-GB"/>
      </w:rPr>
      <w:t>168 avenue de Tervueren, box 2, B-1150 Brussels</w:t>
    </w:r>
  </w:p>
  <w:p w14:paraId="75453247" w14:textId="77777777" w:rsidR="009C5269" w:rsidRPr="00345C1B" w:rsidRDefault="009C5269" w:rsidP="00783070">
    <w:pPr>
      <w:spacing w:after="0"/>
      <w:ind w:left="1843"/>
      <w:rPr>
        <w:rFonts w:ascii="Arial" w:eastAsiaTheme="minorEastAsia" w:hAnsi="Arial" w:cs="Arial"/>
        <w:noProof/>
        <w:color w:val="006284"/>
        <w:sz w:val="16"/>
        <w:szCs w:val="16"/>
        <w:lang w:eastAsia="en-GB"/>
      </w:rPr>
    </w:pPr>
    <w:r w:rsidRPr="00345C1B">
      <w:rPr>
        <w:rFonts w:ascii="Arial" w:eastAsiaTheme="minorEastAsia" w:hAnsi="Arial" w:cs="Arial"/>
        <w:noProof/>
        <w:color w:val="006284"/>
        <w:sz w:val="16"/>
        <w:szCs w:val="16"/>
        <w:lang w:eastAsia="en-GB"/>
      </w:rPr>
      <w:t>Tel: +32 2 280 14 70 </w:t>
    </w:r>
  </w:p>
  <w:p w14:paraId="7AA6BBB6" w14:textId="77777777" w:rsidR="009C5269" w:rsidRPr="00345C1B" w:rsidRDefault="00696733" w:rsidP="00783070">
    <w:pPr>
      <w:pStyle w:val="Header"/>
      <w:ind w:left="1843"/>
      <w:rPr>
        <w:rStyle w:val="Hyperlink"/>
        <w:rFonts w:ascii="Arial" w:eastAsiaTheme="minorEastAsia" w:hAnsi="Arial" w:cs="Arial"/>
        <w:noProof/>
        <w:color w:val="006284"/>
        <w:sz w:val="16"/>
        <w:szCs w:val="16"/>
        <w:lang w:eastAsia="en-GB"/>
      </w:rPr>
    </w:pPr>
    <w:hyperlink r:id="rId3" w:history="1">
      <w:r w:rsidR="009C5269" w:rsidRPr="00345C1B">
        <w:rPr>
          <w:rStyle w:val="Hyperlink"/>
          <w:rFonts w:ascii="Arial" w:eastAsiaTheme="minorEastAsia" w:hAnsi="Arial" w:cs="Arial"/>
          <w:noProof/>
          <w:color w:val="006284"/>
          <w:sz w:val="16"/>
          <w:szCs w:val="16"/>
          <w:lang w:eastAsia="en-GB"/>
        </w:rPr>
        <w:t>www.age-platform.eu</w:t>
      </w:r>
    </w:hyperlink>
  </w:p>
  <w:p w14:paraId="697C20F0" w14:textId="77777777" w:rsidR="009C5269" w:rsidRDefault="009C5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nsid w:val="00000002"/>
    <w:multiLevelType w:val="multilevel"/>
    <w:tmpl w:val="00000002"/>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4A3BF4"/>
    <w:multiLevelType w:val="hybridMultilevel"/>
    <w:tmpl w:val="89562E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78401F"/>
    <w:multiLevelType w:val="hybridMultilevel"/>
    <w:tmpl w:val="638A062E"/>
    <w:lvl w:ilvl="0" w:tplc="0C0A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33A00"/>
    <w:multiLevelType w:val="hybridMultilevel"/>
    <w:tmpl w:val="8020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C43AC"/>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91E17BE"/>
    <w:multiLevelType w:val="hybridMultilevel"/>
    <w:tmpl w:val="1FA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232D2F"/>
    <w:multiLevelType w:val="hybridMultilevel"/>
    <w:tmpl w:val="394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56CD5"/>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97C6090"/>
    <w:multiLevelType w:val="hybridMultilevel"/>
    <w:tmpl w:val="5936E3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D0B5CA6"/>
    <w:multiLevelType w:val="hybridMultilevel"/>
    <w:tmpl w:val="17D8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9"/>
  </w:num>
  <w:num w:numId="6">
    <w:abstractNumId w:val="0"/>
  </w:num>
  <w:num w:numId="7">
    <w:abstractNumId w:val="1"/>
  </w:num>
  <w:num w:numId="8">
    <w:abstractNumId w:val="2"/>
  </w:num>
  <w:num w:numId="9">
    <w:abstractNumId w:val="3"/>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7D"/>
    <w:rsid w:val="0000412B"/>
    <w:rsid w:val="000701EB"/>
    <w:rsid w:val="00094F15"/>
    <w:rsid w:val="0009612E"/>
    <w:rsid w:val="000A7C16"/>
    <w:rsid w:val="000C52E2"/>
    <w:rsid w:val="000F5719"/>
    <w:rsid w:val="001259E8"/>
    <w:rsid w:val="00150F4F"/>
    <w:rsid w:val="00171829"/>
    <w:rsid w:val="00190E3E"/>
    <w:rsid w:val="001919A9"/>
    <w:rsid w:val="0019389E"/>
    <w:rsid w:val="001A5685"/>
    <w:rsid w:val="001C306E"/>
    <w:rsid w:val="001D274E"/>
    <w:rsid w:val="001E1325"/>
    <w:rsid w:val="001E6039"/>
    <w:rsid w:val="00211DF6"/>
    <w:rsid w:val="00214C3F"/>
    <w:rsid w:val="00233DD9"/>
    <w:rsid w:val="00233FB7"/>
    <w:rsid w:val="00243882"/>
    <w:rsid w:val="00244CE9"/>
    <w:rsid w:val="002452C4"/>
    <w:rsid w:val="00264A39"/>
    <w:rsid w:val="002A09D1"/>
    <w:rsid w:val="002C6BEC"/>
    <w:rsid w:val="002D64BA"/>
    <w:rsid w:val="002E6325"/>
    <w:rsid w:val="00306E0F"/>
    <w:rsid w:val="003141C8"/>
    <w:rsid w:val="00337DD1"/>
    <w:rsid w:val="00345C1B"/>
    <w:rsid w:val="003A71D4"/>
    <w:rsid w:val="003C457D"/>
    <w:rsid w:val="00401C32"/>
    <w:rsid w:val="00410D0C"/>
    <w:rsid w:val="00442755"/>
    <w:rsid w:val="00445EF5"/>
    <w:rsid w:val="00456BD0"/>
    <w:rsid w:val="004A25CB"/>
    <w:rsid w:val="004A3F2E"/>
    <w:rsid w:val="004B06AB"/>
    <w:rsid w:val="004C2A1B"/>
    <w:rsid w:val="004E14F6"/>
    <w:rsid w:val="0050496F"/>
    <w:rsid w:val="00523F79"/>
    <w:rsid w:val="00544CE1"/>
    <w:rsid w:val="005514CA"/>
    <w:rsid w:val="0055509C"/>
    <w:rsid w:val="00577CBB"/>
    <w:rsid w:val="00596409"/>
    <w:rsid w:val="005E0997"/>
    <w:rsid w:val="006154EF"/>
    <w:rsid w:val="006364E7"/>
    <w:rsid w:val="0064129D"/>
    <w:rsid w:val="00644724"/>
    <w:rsid w:val="006502E6"/>
    <w:rsid w:val="00652B0F"/>
    <w:rsid w:val="00664C5C"/>
    <w:rsid w:val="00687ED9"/>
    <w:rsid w:val="006913B9"/>
    <w:rsid w:val="00695CE7"/>
    <w:rsid w:val="00696733"/>
    <w:rsid w:val="006B6BC7"/>
    <w:rsid w:val="006C62A7"/>
    <w:rsid w:val="007430B2"/>
    <w:rsid w:val="00746044"/>
    <w:rsid w:val="007475B8"/>
    <w:rsid w:val="007627D8"/>
    <w:rsid w:val="007766E6"/>
    <w:rsid w:val="00777BE7"/>
    <w:rsid w:val="00783070"/>
    <w:rsid w:val="00784458"/>
    <w:rsid w:val="007867F6"/>
    <w:rsid w:val="007D35D4"/>
    <w:rsid w:val="00807CE3"/>
    <w:rsid w:val="00834FD0"/>
    <w:rsid w:val="00835781"/>
    <w:rsid w:val="0083667D"/>
    <w:rsid w:val="00842B31"/>
    <w:rsid w:val="008810ED"/>
    <w:rsid w:val="008C2105"/>
    <w:rsid w:val="00945128"/>
    <w:rsid w:val="009460B2"/>
    <w:rsid w:val="00951E06"/>
    <w:rsid w:val="0095675E"/>
    <w:rsid w:val="00964D21"/>
    <w:rsid w:val="00983582"/>
    <w:rsid w:val="00986722"/>
    <w:rsid w:val="00986CA0"/>
    <w:rsid w:val="009B0909"/>
    <w:rsid w:val="009C2D6F"/>
    <w:rsid w:val="009C5269"/>
    <w:rsid w:val="009F5093"/>
    <w:rsid w:val="009F5B06"/>
    <w:rsid w:val="00A25A1E"/>
    <w:rsid w:val="00A4306C"/>
    <w:rsid w:val="00A73F1E"/>
    <w:rsid w:val="00AA0A77"/>
    <w:rsid w:val="00AD629C"/>
    <w:rsid w:val="00AE77DF"/>
    <w:rsid w:val="00AF12EA"/>
    <w:rsid w:val="00B06485"/>
    <w:rsid w:val="00B13AA4"/>
    <w:rsid w:val="00B85F7A"/>
    <w:rsid w:val="00BB05E9"/>
    <w:rsid w:val="00BB1023"/>
    <w:rsid w:val="00BE0278"/>
    <w:rsid w:val="00BE3104"/>
    <w:rsid w:val="00C0419D"/>
    <w:rsid w:val="00C04830"/>
    <w:rsid w:val="00C06BE1"/>
    <w:rsid w:val="00C209C2"/>
    <w:rsid w:val="00C33CD5"/>
    <w:rsid w:val="00C45E8A"/>
    <w:rsid w:val="00C631D2"/>
    <w:rsid w:val="00C666A5"/>
    <w:rsid w:val="00C67CA0"/>
    <w:rsid w:val="00CA0588"/>
    <w:rsid w:val="00CB34D0"/>
    <w:rsid w:val="00CD0A68"/>
    <w:rsid w:val="00CF6C88"/>
    <w:rsid w:val="00D07F6E"/>
    <w:rsid w:val="00D21B34"/>
    <w:rsid w:val="00D34785"/>
    <w:rsid w:val="00D87434"/>
    <w:rsid w:val="00D959F0"/>
    <w:rsid w:val="00E10258"/>
    <w:rsid w:val="00E47070"/>
    <w:rsid w:val="00E7270A"/>
    <w:rsid w:val="00E826D4"/>
    <w:rsid w:val="00EA2527"/>
    <w:rsid w:val="00EB5630"/>
    <w:rsid w:val="00F0422A"/>
    <w:rsid w:val="00F17BB6"/>
    <w:rsid w:val="00F23EC1"/>
    <w:rsid w:val="00F433C2"/>
    <w:rsid w:val="00F70847"/>
    <w:rsid w:val="00F719F9"/>
    <w:rsid w:val="00F7392A"/>
    <w:rsid w:val="00FA3E02"/>
    <w:rsid w:val="00FE7B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6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basedOn w:val="Normal"/>
    <w:link w:val="FootnoteTextChar"/>
    <w:uiPriority w:val="99"/>
    <w:semiHidden/>
    <w:unhideWhenUsed/>
    <w:rsid w:val="0078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070"/>
    <w:rPr>
      <w:sz w:val="20"/>
      <w:szCs w:val="20"/>
    </w:rPr>
  </w:style>
  <w:style w:type="character" w:styleId="FootnoteReference">
    <w:name w:val="footnote reference"/>
    <w:basedOn w:val="DefaultParagraphFont"/>
    <w:uiPriority w:val="99"/>
    <w:semiHidden/>
    <w:unhideWhenUsed/>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basedOn w:val="Normal"/>
    <w:link w:val="FootnoteTextChar"/>
    <w:uiPriority w:val="99"/>
    <w:semiHidden/>
    <w:unhideWhenUsed/>
    <w:rsid w:val="0078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070"/>
    <w:rPr>
      <w:sz w:val="20"/>
      <w:szCs w:val="20"/>
    </w:rPr>
  </w:style>
  <w:style w:type="character" w:styleId="FootnoteReference">
    <w:name w:val="footnote reference"/>
    <w:basedOn w:val="DefaultParagraphFont"/>
    <w:uiPriority w:val="99"/>
    <w:semiHidden/>
    <w:unhideWhenUsed/>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732">
      <w:bodyDiv w:val="1"/>
      <w:marLeft w:val="0"/>
      <w:marRight w:val="0"/>
      <w:marTop w:val="0"/>
      <w:marBottom w:val="0"/>
      <w:divBdr>
        <w:top w:val="none" w:sz="0" w:space="0" w:color="auto"/>
        <w:left w:val="none" w:sz="0" w:space="0" w:color="auto"/>
        <w:bottom w:val="none" w:sz="0" w:space="0" w:color="auto"/>
        <w:right w:val="none" w:sz="0" w:space="0" w:color="auto"/>
      </w:divBdr>
    </w:div>
    <w:div w:id="1186872038">
      <w:bodyDiv w:val="1"/>
      <w:marLeft w:val="0"/>
      <w:marRight w:val="0"/>
      <w:marTop w:val="0"/>
      <w:marBottom w:val="0"/>
      <w:divBdr>
        <w:top w:val="none" w:sz="0" w:space="0" w:color="auto"/>
        <w:left w:val="none" w:sz="0" w:space="0" w:color="auto"/>
        <w:bottom w:val="none" w:sz="0" w:space="0" w:color="auto"/>
        <w:right w:val="none" w:sz="0" w:space="0" w:color="auto"/>
      </w:divBdr>
    </w:div>
    <w:div w:id="1580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na.georgantzi@age-platform.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ublications.age-platform.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ge-platform.eu/age-news-human-rights-and-non-discriminatio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file:///C:\Users\annem\AppData\Local\Microsoft\Windows\Temporary%20Internet%20Files\Content.Outlook\WIKPHUMU\www.age-platform.e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CEBA-CF28-47BF-9DDC-6A52BE39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TUI UK</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2017-01-10T15:03:00Z</cp:lastPrinted>
  <dcterms:created xsi:type="dcterms:W3CDTF">2018-04-23T14:35:00Z</dcterms:created>
  <dcterms:modified xsi:type="dcterms:W3CDTF">2018-04-23T14:35:00Z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